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DE6A" w14:textId="77777777" w:rsidR="00026B05" w:rsidRPr="00290970" w:rsidRDefault="00026B05" w:rsidP="00026B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990668B" w14:textId="77777777" w:rsidR="00290970" w:rsidRDefault="00290970" w:rsidP="00290970">
      <w:pPr>
        <w:jc w:val="center"/>
        <w:rPr>
          <w:rFonts w:ascii="Verdana" w:hAnsi="Verdana" w:cs="Arial"/>
          <w:sz w:val="20"/>
          <w:szCs w:val="20"/>
          <w:u w:val="single"/>
        </w:rPr>
      </w:pPr>
      <w:r w:rsidRPr="3711C227">
        <w:rPr>
          <w:rFonts w:ascii="Verdana" w:hAnsi="Verdana" w:cs="Arial"/>
          <w:sz w:val="20"/>
          <w:szCs w:val="20"/>
          <w:u w:val="single"/>
        </w:rPr>
        <w:t xml:space="preserve">La nostra Politica </w:t>
      </w:r>
    </w:p>
    <w:p w14:paraId="73BABAC2" w14:textId="77777777" w:rsidR="00031AAE" w:rsidRPr="00290970" w:rsidRDefault="00031AAE" w:rsidP="00290970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5D9BA3A1" w14:textId="77777777" w:rsidR="00290970" w:rsidRPr="00290970" w:rsidRDefault="00290970" w:rsidP="3711C227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36E13AC5" w14:textId="3E87DECC" w:rsidR="006C4C83" w:rsidRDefault="00290970" w:rsidP="3711C227">
      <w:pPr>
        <w:rPr>
          <w:rFonts w:ascii="Verdana" w:hAnsi="Verdana" w:cs="Arial"/>
          <w:sz w:val="20"/>
          <w:szCs w:val="20"/>
        </w:rPr>
      </w:pPr>
      <w:r w:rsidRPr="3711C227">
        <w:rPr>
          <w:rFonts w:ascii="Verdana" w:hAnsi="Verdana" w:cs="Arial"/>
          <w:sz w:val="20"/>
          <w:szCs w:val="20"/>
        </w:rPr>
        <w:t xml:space="preserve">La nostra Vision </w:t>
      </w:r>
      <w:r w:rsidR="006C4C83" w:rsidRPr="3711C227">
        <w:rPr>
          <w:rFonts w:ascii="Verdana" w:hAnsi="Verdana" w:cs="Arial"/>
          <w:sz w:val="20"/>
          <w:szCs w:val="20"/>
        </w:rPr>
        <w:t>è comune a quella del gruppo Spring e incentrata su l’attenzione al cliente e all</w:t>
      </w:r>
      <w:r w:rsidR="375A6C22" w:rsidRPr="3711C227">
        <w:rPr>
          <w:rFonts w:ascii="Verdana" w:hAnsi="Verdana" w:cs="Arial"/>
          <w:sz w:val="20"/>
          <w:szCs w:val="20"/>
        </w:rPr>
        <w:t>e</w:t>
      </w:r>
      <w:r w:rsidR="006C4C83" w:rsidRPr="3711C227">
        <w:rPr>
          <w:rFonts w:ascii="Verdana" w:hAnsi="Verdana" w:cs="Arial"/>
          <w:sz w:val="20"/>
          <w:szCs w:val="20"/>
        </w:rPr>
        <w:t xml:space="preserve"> sue necessità, offrendo l’esperienza migliore a livello di soluzioni </w:t>
      </w:r>
      <w:r w:rsidR="023E3B81" w:rsidRPr="3711C227">
        <w:rPr>
          <w:rFonts w:ascii="Verdana" w:hAnsi="Verdana" w:cs="Arial"/>
          <w:sz w:val="20"/>
          <w:szCs w:val="20"/>
        </w:rPr>
        <w:t xml:space="preserve">postali e per il settore </w:t>
      </w:r>
      <w:r w:rsidR="00B730C9" w:rsidRPr="3711C227">
        <w:rPr>
          <w:rFonts w:ascii="Verdana" w:hAnsi="Verdana" w:cs="Arial"/>
          <w:sz w:val="20"/>
          <w:szCs w:val="20"/>
        </w:rPr>
        <w:t>e-commerce</w:t>
      </w:r>
      <w:r w:rsidR="006C4C83" w:rsidRPr="3711C227">
        <w:rPr>
          <w:rFonts w:ascii="Verdana" w:hAnsi="Verdana" w:cs="Arial"/>
          <w:sz w:val="20"/>
          <w:szCs w:val="20"/>
        </w:rPr>
        <w:t xml:space="preserve">, con un focus sulle performance e sui temi di sostenibilità, a livello centrale e locale. </w:t>
      </w:r>
    </w:p>
    <w:p w14:paraId="799864E4" w14:textId="77777777" w:rsidR="00031AAE" w:rsidRPr="006C4C83" w:rsidRDefault="00031AAE" w:rsidP="3711C227">
      <w:pPr>
        <w:rPr>
          <w:rFonts w:ascii="Verdana" w:hAnsi="Verdana" w:cs="Arial"/>
          <w:sz w:val="20"/>
          <w:szCs w:val="20"/>
        </w:rPr>
      </w:pPr>
    </w:p>
    <w:p w14:paraId="66636A0C" w14:textId="385CAD25" w:rsidR="00290970" w:rsidRPr="00290970" w:rsidRDefault="006C4C83" w:rsidP="3711C227">
      <w:pPr>
        <w:rPr>
          <w:rFonts w:ascii="Verdana" w:hAnsi="Verdana" w:cs="Arial"/>
          <w:sz w:val="20"/>
          <w:szCs w:val="20"/>
        </w:rPr>
      </w:pPr>
      <w:r w:rsidRPr="3711C227">
        <w:rPr>
          <w:rFonts w:ascii="Verdana" w:hAnsi="Verdana" w:cs="Arial"/>
          <w:sz w:val="20"/>
          <w:szCs w:val="20"/>
        </w:rPr>
        <w:t xml:space="preserve">Il nostro intento è quindi quello di offrire soluzioni semplificate di logistica che possano </w:t>
      </w:r>
      <w:r w:rsidR="44CD9FFA" w:rsidRPr="3711C227">
        <w:rPr>
          <w:rFonts w:ascii="Verdana" w:hAnsi="Verdana" w:cs="Arial"/>
          <w:sz w:val="20"/>
          <w:szCs w:val="20"/>
        </w:rPr>
        <w:t>soddisfare</w:t>
      </w:r>
      <w:r w:rsidRPr="3711C227">
        <w:rPr>
          <w:rFonts w:ascii="Verdana" w:hAnsi="Verdana" w:cs="Arial"/>
          <w:sz w:val="20"/>
          <w:szCs w:val="20"/>
        </w:rPr>
        <w:t xml:space="preserve"> le esigenze locali e specifiche dei clienti che vogliono affidarsi a </w:t>
      </w:r>
      <w:r w:rsidR="0094136E" w:rsidRPr="3711C227">
        <w:rPr>
          <w:rFonts w:ascii="Verdana" w:hAnsi="Verdana" w:cs="Arial"/>
          <w:sz w:val="20"/>
          <w:szCs w:val="20"/>
        </w:rPr>
        <w:t xml:space="preserve">G3 </w:t>
      </w:r>
      <w:r w:rsidR="00557486" w:rsidRPr="3711C227">
        <w:rPr>
          <w:rFonts w:ascii="Verdana" w:hAnsi="Verdana" w:cs="Arial"/>
          <w:sz w:val="20"/>
          <w:szCs w:val="20"/>
        </w:rPr>
        <w:t>Worldwide</w:t>
      </w:r>
      <w:r w:rsidR="0094136E" w:rsidRPr="3711C227">
        <w:rPr>
          <w:rFonts w:ascii="Verdana" w:hAnsi="Verdana" w:cs="Arial"/>
          <w:sz w:val="20"/>
          <w:szCs w:val="20"/>
        </w:rPr>
        <w:t xml:space="preserve"> Mail (Italy) srl</w:t>
      </w:r>
      <w:r w:rsidRPr="3711C227">
        <w:rPr>
          <w:rFonts w:ascii="Verdana" w:hAnsi="Verdana" w:cs="Arial"/>
          <w:sz w:val="20"/>
          <w:szCs w:val="20"/>
        </w:rPr>
        <w:t>. Questo è reso possibile dal</w:t>
      </w:r>
      <w:r w:rsidR="00290970" w:rsidRPr="3711C227">
        <w:rPr>
          <w:rFonts w:ascii="Verdana" w:hAnsi="Verdana" w:cs="Arial"/>
          <w:sz w:val="20"/>
          <w:szCs w:val="20"/>
        </w:rPr>
        <w:t xml:space="preserve"> costante miglioramento di tutti i processi aziendali</w:t>
      </w:r>
      <w:r w:rsidR="008E3120" w:rsidRPr="3711C227">
        <w:rPr>
          <w:rFonts w:ascii="Verdana" w:hAnsi="Verdana" w:cs="Arial"/>
          <w:sz w:val="20"/>
          <w:szCs w:val="20"/>
        </w:rPr>
        <w:t xml:space="preserve"> nel rispetto dell’ambiente</w:t>
      </w:r>
      <w:r w:rsidR="00290970" w:rsidRPr="3711C227">
        <w:rPr>
          <w:rFonts w:ascii="Verdana" w:hAnsi="Verdana" w:cs="Arial"/>
          <w:sz w:val="20"/>
          <w:szCs w:val="20"/>
        </w:rPr>
        <w:t>, applicando e sviluppando gli obiettivi aziendali</w:t>
      </w:r>
      <w:r w:rsidRPr="3711C227">
        <w:rPr>
          <w:rFonts w:ascii="Verdana" w:hAnsi="Verdana" w:cs="Arial"/>
          <w:sz w:val="20"/>
          <w:szCs w:val="20"/>
        </w:rPr>
        <w:t xml:space="preserve"> </w:t>
      </w:r>
      <w:r w:rsidR="643B6D88" w:rsidRPr="3711C227">
        <w:rPr>
          <w:rFonts w:ascii="Verdana" w:hAnsi="Verdana" w:cs="Arial"/>
          <w:sz w:val="20"/>
          <w:szCs w:val="20"/>
        </w:rPr>
        <w:t>predefiniti</w:t>
      </w:r>
      <w:r w:rsidRPr="3711C227">
        <w:rPr>
          <w:rFonts w:ascii="Verdana" w:hAnsi="Verdana" w:cs="Arial"/>
          <w:sz w:val="20"/>
          <w:szCs w:val="20"/>
        </w:rPr>
        <w:t>.</w:t>
      </w:r>
    </w:p>
    <w:p w14:paraId="0EE84BDE" w14:textId="77777777" w:rsidR="00290970" w:rsidRPr="00290970" w:rsidRDefault="00290970" w:rsidP="0029097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290970" w:rsidRPr="00290970" w14:paraId="08F0FD37" w14:textId="77777777" w:rsidTr="3711C227">
        <w:trPr>
          <w:cantSplit/>
          <w:trHeight w:val="1872"/>
        </w:trPr>
        <w:tc>
          <w:tcPr>
            <w:tcW w:w="5000" w:type="pct"/>
            <w:vAlign w:val="center"/>
          </w:tcPr>
          <w:p w14:paraId="00B340A5" w14:textId="72C8CBF2" w:rsidR="00290970" w:rsidRPr="00290970" w:rsidRDefault="00290970" w:rsidP="009E622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>Pertanto, la Mission aziendale prevedere l’impegno della Direzione per perseguire</w:t>
            </w:r>
            <w:r w:rsidR="5E051B2C" w:rsidRPr="3711C227">
              <w:rPr>
                <w:rFonts w:ascii="Verdana" w:hAnsi="Verdana" w:cs="Arial"/>
                <w:sz w:val="20"/>
                <w:szCs w:val="20"/>
              </w:rPr>
              <w:t xml:space="preserve"> l</w:t>
            </w:r>
            <w:r w:rsidRPr="3711C227">
              <w:rPr>
                <w:rFonts w:ascii="Verdana" w:hAnsi="Verdana" w:cs="Arial"/>
                <w:sz w:val="20"/>
                <w:szCs w:val="20"/>
              </w:rPr>
              <w:t>a soddisfazione dei Clienti</w:t>
            </w:r>
            <w:r w:rsidR="5E051B2C" w:rsidRPr="3711C227">
              <w:rPr>
                <w:rFonts w:ascii="Verdana" w:hAnsi="Verdana" w:cs="Arial"/>
                <w:sz w:val="20"/>
                <w:szCs w:val="20"/>
              </w:rPr>
              <w:t>,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5E051B2C" w:rsidRPr="3711C227">
              <w:rPr>
                <w:rFonts w:ascii="Verdana" w:hAnsi="Verdana" w:cs="Arial"/>
                <w:sz w:val="20"/>
                <w:szCs w:val="20"/>
              </w:rPr>
              <w:t xml:space="preserve">che 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è </w:t>
            </w:r>
            <w:r w:rsidR="5E051B2C" w:rsidRPr="3711C227">
              <w:rPr>
                <w:rFonts w:ascii="Verdana" w:hAnsi="Verdana" w:cs="Arial"/>
                <w:sz w:val="20"/>
                <w:szCs w:val="20"/>
              </w:rPr>
              <w:t xml:space="preserve">il </w:t>
            </w:r>
            <w:r w:rsidRPr="3711C227">
              <w:rPr>
                <w:rFonts w:ascii="Verdana" w:hAnsi="Verdana" w:cs="Arial"/>
                <w:sz w:val="20"/>
                <w:szCs w:val="20"/>
              </w:rPr>
              <w:t>perno centrale</w:t>
            </w:r>
            <w:r w:rsidR="286C2F60" w:rsidRPr="3711C227">
              <w:rPr>
                <w:rFonts w:ascii="Verdana" w:hAnsi="Verdana" w:cs="Arial"/>
                <w:sz w:val="20"/>
                <w:szCs w:val="20"/>
              </w:rPr>
              <w:t xml:space="preserve"> delle attività Aziendali</w:t>
            </w:r>
            <w:r w:rsidR="5E051B2C" w:rsidRPr="3711C227">
              <w:rPr>
                <w:rFonts w:ascii="Verdana" w:hAnsi="Verdana" w:cs="Arial"/>
                <w:sz w:val="20"/>
                <w:szCs w:val="20"/>
              </w:rPr>
              <w:t xml:space="preserve"> tramite:</w:t>
            </w:r>
          </w:p>
          <w:p w14:paraId="77C3A7DF" w14:textId="77777777" w:rsidR="00290970" w:rsidRPr="003C3B65" w:rsidRDefault="1860C8B7" w:rsidP="3711C227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3B65">
              <w:rPr>
                <w:rFonts w:ascii="Verdana" w:hAnsi="Verdana" w:cs="Arial"/>
                <w:sz w:val="20"/>
                <w:szCs w:val="20"/>
              </w:rPr>
              <w:t>L’analisi dei</w:t>
            </w:r>
            <w:r w:rsidR="00290970" w:rsidRPr="003C3B65">
              <w:rPr>
                <w:rFonts w:ascii="Verdana" w:hAnsi="Verdana" w:cs="Arial"/>
                <w:sz w:val="20"/>
                <w:szCs w:val="20"/>
              </w:rPr>
              <w:t xml:space="preserve"> requisiti espliciti ed impliciti definiti da ciascun Cliente, in modo da offrire un servizio allineato all</w:t>
            </w:r>
            <w:r w:rsidR="0094136E" w:rsidRPr="003C3B65">
              <w:rPr>
                <w:rFonts w:ascii="Verdana" w:hAnsi="Verdana" w:cs="Arial"/>
                <w:sz w:val="20"/>
                <w:szCs w:val="20"/>
              </w:rPr>
              <w:t xml:space="preserve">e </w:t>
            </w:r>
            <w:r w:rsidR="00290970" w:rsidRPr="003C3B65">
              <w:rPr>
                <w:rFonts w:ascii="Verdana" w:hAnsi="Verdana" w:cs="Arial"/>
                <w:sz w:val="20"/>
                <w:szCs w:val="20"/>
              </w:rPr>
              <w:t>effettive esigenze dello stesso</w:t>
            </w:r>
            <w:r w:rsidRPr="003C3B65">
              <w:rPr>
                <w:rFonts w:ascii="Verdana" w:hAnsi="Verdana" w:cs="Arial"/>
                <w:sz w:val="20"/>
                <w:szCs w:val="20"/>
              </w:rPr>
              <w:t xml:space="preserve">, anche </w:t>
            </w:r>
            <w:r w:rsidR="006C4C83" w:rsidRPr="003C3B65">
              <w:rPr>
                <w:rFonts w:ascii="Verdana" w:hAnsi="Verdana" w:cs="Arial"/>
                <w:sz w:val="20"/>
                <w:szCs w:val="20"/>
              </w:rPr>
              <w:t>promuovendo</w:t>
            </w:r>
            <w:r w:rsidRPr="003C3B65">
              <w:rPr>
                <w:rFonts w:ascii="Verdana" w:hAnsi="Verdana" w:cs="Arial"/>
                <w:sz w:val="20"/>
                <w:szCs w:val="20"/>
              </w:rPr>
              <w:t xml:space="preserve"> soluzioni volte a ridurre gli impatti ambientali</w:t>
            </w:r>
            <w:r w:rsidR="00290970" w:rsidRPr="003C3B65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280BFD1E" w14:textId="77777777" w:rsidR="00290970" w:rsidRPr="003C3B65" w:rsidRDefault="1860C8B7" w:rsidP="009E6227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3B65">
              <w:rPr>
                <w:rFonts w:ascii="Verdana" w:hAnsi="Verdana" w:cs="Arial"/>
                <w:sz w:val="20"/>
                <w:szCs w:val="20"/>
              </w:rPr>
              <w:t>Il mantenimento della</w:t>
            </w:r>
            <w:r w:rsidR="00290970" w:rsidRPr="003C3B65">
              <w:rPr>
                <w:rFonts w:ascii="Verdana" w:hAnsi="Verdana" w:cs="Arial"/>
                <w:sz w:val="20"/>
                <w:szCs w:val="20"/>
              </w:rPr>
              <w:t xml:space="preserve"> registrazione di tutti i feedback ricevuti dai Clienti</w:t>
            </w:r>
            <w:r w:rsidR="008E3120" w:rsidRPr="003C3B65">
              <w:rPr>
                <w:rFonts w:ascii="Verdana" w:hAnsi="Verdana" w:cs="Arial"/>
                <w:sz w:val="20"/>
                <w:szCs w:val="20"/>
              </w:rPr>
              <w:t>, per</w:t>
            </w:r>
            <w:r w:rsidR="00290970" w:rsidRPr="003C3B65">
              <w:rPr>
                <w:rFonts w:ascii="Verdana" w:hAnsi="Verdana" w:cs="Arial"/>
                <w:sz w:val="20"/>
                <w:szCs w:val="20"/>
              </w:rPr>
              <w:t xml:space="preserve"> garantire una loro corretta gestione e </w:t>
            </w:r>
            <w:r w:rsidRPr="003C3B65">
              <w:rPr>
                <w:rFonts w:ascii="Verdana" w:hAnsi="Verdana" w:cs="Arial"/>
                <w:sz w:val="20"/>
                <w:szCs w:val="20"/>
              </w:rPr>
              <w:t>per</w:t>
            </w:r>
            <w:r w:rsidR="00290970" w:rsidRPr="003C3B65">
              <w:rPr>
                <w:rFonts w:ascii="Verdana" w:hAnsi="Verdana" w:cs="Arial"/>
                <w:sz w:val="20"/>
                <w:szCs w:val="20"/>
              </w:rPr>
              <w:t xml:space="preserve"> identificare i margini di miglioramento nell’operatività quotidiana;</w:t>
            </w:r>
          </w:p>
          <w:p w14:paraId="6EFA2483" w14:textId="77777777" w:rsidR="00290970" w:rsidRPr="006C4C83" w:rsidRDefault="1860C8B7" w:rsidP="3711C227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>Il monitoraggio periodico del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 xml:space="preserve">la qualità 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del servizio 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 xml:space="preserve">percepita dai Clienti </w:t>
            </w:r>
            <w:r w:rsidR="006C4C83" w:rsidRPr="3711C227">
              <w:rPr>
                <w:rFonts w:ascii="Verdana" w:hAnsi="Verdana" w:cs="Arial"/>
                <w:sz w:val="20"/>
                <w:szCs w:val="20"/>
              </w:rPr>
              <w:t>tramite survey dedicata</w:t>
            </w:r>
            <w:r w:rsidR="0094136E" w:rsidRPr="3711C227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0D57B3C6" w14:textId="77777777" w:rsidR="00290970" w:rsidRDefault="00290970" w:rsidP="009E622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89861E8" w14:textId="77777777" w:rsidR="00031AAE" w:rsidRPr="00290970" w:rsidRDefault="00031AAE" w:rsidP="009E622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90970" w:rsidRPr="00290970" w14:paraId="0CA85348" w14:textId="77777777" w:rsidTr="3711C227">
        <w:trPr>
          <w:trHeight w:val="1277"/>
        </w:trPr>
        <w:tc>
          <w:tcPr>
            <w:tcW w:w="5000" w:type="pct"/>
            <w:vAlign w:val="center"/>
          </w:tcPr>
          <w:p w14:paraId="202EEB3E" w14:textId="77777777" w:rsidR="00290970" w:rsidRDefault="5BB29D50" w:rsidP="009E622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Oltre a garantire il costante aggiornamento rispetto alle disposizioni cogenti e </w:t>
            </w:r>
            <w:r w:rsidR="0094136E" w:rsidRPr="3711C227">
              <w:rPr>
                <w:rFonts w:ascii="Verdana" w:hAnsi="Verdana" w:cs="Arial"/>
                <w:sz w:val="20"/>
                <w:szCs w:val="20"/>
              </w:rPr>
              <w:t xml:space="preserve">alle </w:t>
            </w:r>
            <w:r w:rsidRPr="3711C227">
              <w:rPr>
                <w:rFonts w:ascii="Verdana" w:hAnsi="Verdana" w:cs="Arial"/>
                <w:sz w:val="20"/>
                <w:szCs w:val="20"/>
              </w:rPr>
              <w:t>tecniche di settore, l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>a Direzione si adopera affinché venga garantito il miglioramento continuo dell’efficacia del Sistema di Gestione per la Qualità, in particolare</w:t>
            </w:r>
            <w:r w:rsidR="008E3120" w:rsidRPr="3711C227">
              <w:rPr>
                <w:rFonts w:ascii="Verdana" w:hAnsi="Verdana" w:cs="Arial"/>
                <w:sz w:val="20"/>
                <w:szCs w:val="20"/>
              </w:rPr>
              <w:t xml:space="preserve"> per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43036F35" w14:textId="77777777" w:rsidR="006C4C83" w:rsidRDefault="006C4C83" w:rsidP="009E622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5CE1B3E" w14:textId="77777777" w:rsidR="006C4C83" w:rsidRPr="00290970" w:rsidRDefault="006C4C83" w:rsidP="009E622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F8154D" w14:textId="55AC5758" w:rsidR="00290970" w:rsidRPr="009B0157" w:rsidRDefault="70C6F9C5" w:rsidP="009B015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Definire 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>il livello di professionalità richiesta per ciascun ruolo aziendale verificando periodicamente le performance dei propri dipendenti e collaboratori</w:t>
            </w:r>
            <w:r w:rsidR="4550407D" w:rsidRPr="3711C227">
              <w:rPr>
                <w:rFonts w:ascii="Verdana" w:hAnsi="Verdana" w:cs="Arial"/>
                <w:sz w:val="20"/>
                <w:szCs w:val="20"/>
              </w:rPr>
              <w:t xml:space="preserve">, al fine di definire piani di 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 xml:space="preserve">formazione che garantiscano l’offerta di un 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>servizio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 xml:space="preserve"> altamente competitivo</w:t>
            </w:r>
            <w:r w:rsidR="14552EAD" w:rsidRPr="3711C227">
              <w:rPr>
                <w:rFonts w:ascii="Verdana" w:hAnsi="Verdana" w:cs="Arial"/>
                <w:sz w:val="20"/>
                <w:szCs w:val="20"/>
              </w:rPr>
              <w:t xml:space="preserve"> (HR)</w:t>
            </w:r>
            <w:r w:rsidR="006C4C83" w:rsidRPr="3711C227">
              <w:rPr>
                <w:rFonts w:ascii="Verdana" w:hAnsi="Verdana" w:cs="Arial"/>
                <w:sz w:val="20"/>
                <w:szCs w:val="20"/>
              </w:rPr>
              <w:t>; promuovere inoltre la consapevolezza dei propri dipendenti rispetto ai progetti virtuosi sul fronte CRS</w:t>
            </w:r>
            <w:r w:rsidR="3E3DB0D4" w:rsidRPr="3711C227">
              <w:rPr>
                <w:rFonts w:ascii="Verdana" w:hAnsi="Verdana" w:cs="Arial"/>
                <w:sz w:val="20"/>
                <w:szCs w:val="20"/>
              </w:rPr>
              <w:t xml:space="preserve"> e agli sviluppi in tema di certificazioni perseguite da parte dell’Organizzazione</w:t>
            </w:r>
            <w:r w:rsidR="00E743C4" w:rsidRPr="00E81B7C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9B0157" w:rsidRPr="00E81B7C">
              <w:rPr>
                <w:rFonts w:ascii="Verdana" w:hAnsi="Verdana" w:cs="Arial"/>
                <w:sz w:val="20"/>
                <w:szCs w:val="20"/>
              </w:rPr>
              <w:t>che si impegna al continuo miglioramento in tema di qualità e a valutare e monitorare gli aspetti ambientali diretti e indiretti nelle condizioni normali, anomale e di emergenza, garantendo la continua conformità a leggi e regolamenti volontari con il monitoraggio e la valutazione continua di tali aspetti</w:t>
            </w:r>
            <w:r w:rsidRPr="00E81B7C">
              <w:rPr>
                <w:rFonts w:ascii="Verdana" w:hAnsi="Verdana" w:cs="Arial"/>
                <w:sz w:val="20"/>
                <w:szCs w:val="20"/>
              </w:rPr>
              <w:t>(HR</w:t>
            </w:r>
            <w:r w:rsidR="3E3DB0D4" w:rsidRPr="009B0157">
              <w:rPr>
                <w:rFonts w:ascii="Verdana" w:hAnsi="Verdana" w:cs="Arial"/>
                <w:sz w:val="20"/>
                <w:szCs w:val="20"/>
              </w:rPr>
              <w:t xml:space="preserve"> &amp; RGQA</w:t>
            </w:r>
            <w:r w:rsidRPr="009B0157">
              <w:rPr>
                <w:rFonts w:ascii="Verdana" w:hAnsi="Verdana" w:cs="Arial"/>
                <w:sz w:val="20"/>
                <w:szCs w:val="20"/>
              </w:rPr>
              <w:t>)</w:t>
            </w:r>
            <w:r w:rsidR="00290970" w:rsidRPr="009B0157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0E562DE0" w14:textId="77777777" w:rsidR="006C4C83" w:rsidRPr="00290970" w:rsidRDefault="006C4C83" w:rsidP="006C4C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2AAA71" w14:textId="77777777" w:rsidR="00290970" w:rsidRDefault="007B670C" w:rsidP="009E622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Incrementare la base di fatturato in maniera organica aumentando sia la base clientelare attraverso una continua penetrazione di mercato sia con continuo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upselling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verso i clienti attivi</w:t>
            </w:r>
            <w:r w:rsidR="00222F16">
              <w:rPr>
                <w:rFonts w:ascii="Verdana" w:hAnsi="Verdana" w:cs="Arial"/>
                <w:sz w:val="20"/>
                <w:szCs w:val="20"/>
              </w:rPr>
              <w:t xml:space="preserve"> (SALES)</w:t>
            </w:r>
          </w:p>
          <w:p w14:paraId="4ED97024" w14:textId="77777777" w:rsidR="006C4C83" w:rsidRDefault="006C4C83" w:rsidP="006C4C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6AFECAC" w14:textId="3278EA45" w:rsidR="007B670C" w:rsidRDefault="02310290" w:rsidP="009E622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Garantire </w:t>
            </w:r>
            <w:r w:rsidR="3E3DB0D4" w:rsidRPr="3711C227">
              <w:rPr>
                <w:rFonts w:ascii="Verdana" w:hAnsi="Verdana" w:cs="Arial"/>
                <w:sz w:val="20"/>
                <w:szCs w:val="20"/>
              </w:rPr>
              <w:t xml:space="preserve">e monitorare </w:t>
            </w:r>
            <w:r w:rsidRPr="3711C227">
              <w:rPr>
                <w:rFonts w:ascii="Verdana" w:hAnsi="Verdana" w:cs="Arial"/>
                <w:sz w:val="20"/>
                <w:szCs w:val="20"/>
              </w:rPr>
              <w:t>un flusso continuo e qualitativ</w:t>
            </w:r>
            <w:r w:rsidR="7A9EC2A4" w:rsidRPr="3711C227">
              <w:rPr>
                <w:rFonts w:ascii="Verdana" w:hAnsi="Verdana" w:cs="Arial"/>
                <w:sz w:val="20"/>
                <w:szCs w:val="20"/>
              </w:rPr>
              <w:t>o di potenziali clienti da convertire mantenendo un appropriato livello di comunicazione aziendale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>, r</w:t>
            </w:r>
            <w:r w:rsidR="7A9EC2A4" w:rsidRPr="3711C227">
              <w:rPr>
                <w:rFonts w:ascii="Verdana" w:hAnsi="Verdana" w:cs="Arial"/>
                <w:sz w:val="20"/>
                <w:szCs w:val="20"/>
              </w:rPr>
              <w:t>iconoscere gli input provenienti dal mercato tramutandoli in opportunità o segnalando eventuali rischi a livello strategico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, favorendo inoltre l’analisi dei prodotti attualmente parte dell’offerta e progettare </w:t>
            </w:r>
            <w:r w:rsidR="0094136E" w:rsidRPr="3711C227">
              <w:rPr>
                <w:rFonts w:ascii="Verdana" w:hAnsi="Verdana" w:cs="Arial"/>
                <w:sz w:val="20"/>
                <w:szCs w:val="20"/>
              </w:rPr>
              <w:t xml:space="preserve">l’eventuale 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>lancio di nuovi prodotti che vadano incontro alle opportunità, e alle richieste derivate dalla customer base</w:t>
            </w:r>
            <w:r w:rsidR="3E3DB0D4" w:rsidRPr="3711C227">
              <w:rPr>
                <w:rFonts w:ascii="Verdana" w:hAnsi="Verdana" w:cs="Arial"/>
                <w:sz w:val="20"/>
                <w:szCs w:val="20"/>
              </w:rPr>
              <w:t xml:space="preserve">; 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>Rispetta</w:t>
            </w:r>
            <w:r w:rsidR="62A1DC58" w:rsidRPr="3711C227">
              <w:rPr>
                <w:rFonts w:ascii="Verdana" w:hAnsi="Verdana" w:cs="Arial"/>
                <w:sz w:val="20"/>
                <w:szCs w:val="20"/>
              </w:rPr>
              <w:t>ndo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 la policy aziendale in merito a Pricing e marginalità di vendita supportando le attività di budgeting, mantenendo aggiornati </w:t>
            </w:r>
            <w:proofErr w:type="spellStart"/>
            <w:r w:rsidR="5BB29D50" w:rsidRPr="3711C227">
              <w:rPr>
                <w:rFonts w:ascii="Verdana" w:hAnsi="Verdana" w:cs="Arial"/>
                <w:sz w:val="20"/>
                <w:szCs w:val="20"/>
              </w:rPr>
              <w:t>routing</w:t>
            </w:r>
            <w:proofErr w:type="spellEnd"/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 e tools 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>(MARKETING)</w:t>
            </w:r>
          </w:p>
          <w:p w14:paraId="261742ED" w14:textId="77777777" w:rsidR="005713EE" w:rsidRDefault="005713EE" w:rsidP="005713E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6F39AA" w14:textId="77777777" w:rsidR="00C91B68" w:rsidRDefault="7A9EC2A4" w:rsidP="3711C22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Garantire la processazione di tutte le spedizioni secondo </w:t>
            </w:r>
            <w:r w:rsidR="008E3120" w:rsidRPr="3711C227">
              <w:rPr>
                <w:rFonts w:ascii="Verdana" w:hAnsi="Verdana" w:cs="Arial"/>
                <w:sz w:val="20"/>
                <w:szCs w:val="20"/>
              </w:rPr>
              <w:t>le procedure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 in essere, ottimizzare i costi operativi attraverso l’analisi e il concetto di miglioramento continuo </w:t>
            </w:r>
            <w:r w:rsidRPr="3711C227">
              <w:rPr>
                <w:rFonts w:ascii="Verdana" w:hAnsi="Verdana" w:cs="Arial"/>
                <w:sz w:val="20"/>
                <w:szCs w:val="20"/>
              </w:rPr>
              <w:lastRenderedPageBreak/>
              <w:t xml:space="preserve">sia a livello di </w:t>
            </w:r>
            <w:proofErr w:type="spellStart"/>
            <w:r w:rsidRPr="3711C227">
              <w:rPr>
                <w:rFonts w:ascii="Verdana" w:hAnsi="Verdana" w:cs="Arial"/>
                <w:sz w:val="20"/>
                <w:szCs w:val="20"/>
              </w:rPr>
              <w:t>handling</w:t>
            </w:r>
            <w:proofErr w:type="spellEnd"/>
            <w:r w:rsidRPr="3711C2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1ADC5CAD" w:rsidRPr="3711C227">
              <w:rPr>
                <w:rFonts w:ascii="Verdana" w:hAnsi="Verdana" w:cs="Arial"/>
                <w:sz w:val="20"/>
                <w:szCs w:val="20"/>
              </w:rPr>
              <w:t>sia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 di gestione trasporti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 xml:space="preserve"> (OPERATIONS)</w:t>
            </w:r>
            <w:r w:rsidR="3E3DB0D4" w:rsidRPr="3711C22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1ADC5CAD" w:rsidRPr="3711C227">
              <w:rPr>
                <w:rFonts w:ascii="Verdana" w:hAnsi="Verdana" w:cs="Arial"/>
                <w:sz w:val="20"/>
                <w:szCs w:val="20"/>
              </w:rPr>
              <w:t>anche grazie all</w:t>
            </w:r>
            <w:r w:rsidR="3E3DB0D4" w:rsidRPr="3711C227">
              <w:rPr>
                <w:rFonts w:ascii="Verdana" w:hAnsi="Verdana" w:cs="Arial"/>
                <w:sz w:val="20"/>
                <w:szCs w:val="20"/>
              </w:rPr>
              <w:t>’integrazione di una valutazione ambientale rispetto ai partner rilevanti.</w:t>
            </w:r>
          </w:p>
          <w:p w14:paraId="7704181B" w14:textId="77777777" w:rsidR="005713EE" w:rsidRDefault="005713EE" w:rsidP="005713EE">
            <w:pPr>
              <w:pStyle w:val="Paragrafoelenco"/>
              <w:rPr>
                <w:rFonts w:ascii="Verdana" w:hAnsi="Verdana" w:cs="Arial"/>
                <w:sz w:val="20"/>
                <w:highlight w:val="yellow"/>
              </w:rPr>
            </w:pPr>
          </w:p>
          <w:p w14:paraId="731DAC7B" w14:textId="77777777" w:rsidR="005713EE" w:rsidRPr="00ED6F0C" w:rsidRDefault="005713EE" w:rsidP="005713EE">
            <w:pPr>
              <w:ind w:left="720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3CCBA882" w14:textId="69FC7554" w:rsidR="005713EE" w:rsidRDefault="7A9EC2A4" w:rsidP="009E622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Definire e monitorare i flussi a livello amministrativo e finanziario garantendo una efficace attività di gestione dei crediti, </w:t>
            </w:r>
            <w:r w:rsidR="1AAE4178" w:rsidRPr="3711C227">
              <w:rPr>
                <w:rFonts w:ascii="Verdana" w:hAnsi="Verdana" w:cs="Arial"/>
                <w:sz w:val="20"/>
                <w:szCs w:val="20"/>
              </w:rPr>
              <w:t xml:space="preserve">di </w:t>
            </w:r>
            <w:r w:rsidRPr="3711C227">
              <w:rPr>
                <w:rFonts w:ascii="Verdana" w:hAnsi="Verdana" w:cs="Arial"/>
                <w:sz w:val="20"/>
                <w:szCs w:val="20"/>
              </w:rPr>
              <w:t>controllo della fiscalità aziendale e monitoraggio delle marginalità aziendal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>e</w:t>
            </w:r>
            <w:r w:rsidR="1AAE4178" w:rsidRPr="3711C227">
              <w:rPr>
                <w:rFonts w:ascii="Verdana" w:hAnsi="Verdana" w:cs="Arial"/>
                <w:sz w:val="20"/>
                <w:szCs w:val="20"/>
              </w:rPr>
              <w:t>;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1FD6C23B" w:rsidRPr="3711C227">
              <w:rPr>
                <w:rFonts w:ascii="Verdana" w:hAnsi="Verdana" w:cs="Arial"/>
                <w:sz w:val="20"/>
                <w:szCs w:val="20"/>
              </w:rPr>
              <w:t xml:space="preserve">verificare e monitorare controllo costi variabili; </w:t>
            </w:r>
            <w:r w:rsidR="1AAE4178" w:rsidRPr="3711C227">
              <w:rPr>
                <w:rFonts w:ascii="Verdana" w:hAnsi="Verdana" w:cs="Arial"/>
                <w:sz w:val="20"/>
                <w:szCs w:val="20"/>
              </w:rPr>
              <w:t xml:space="preserve">mantenere inoltre un monitoraggio proattivo dei fornitori attraverso </w:t>
            </w:r>
            <w:r w:rsidR="00F720C2" w:rsidRPr="3711C227">
              <w:rPr>
                <w:rFonts w:ascii="Verdana" w:hAnsi="Verdana" w:cs="Arial"/>
                <w:sz w:val="20"/>
                <w:szCs w:val="20"/>
              </w:rPr>
              <w:t>gli strumenti</w:t>
            </w:r>
            <w:r w:rsidR="1AAE4178" w:rsidRPr="3711C227">
              <w:rPr>
                <w:rFonts w:ascii="Verdana" w:hAnsi="Verdana" w:cs="Arial"/>
                <w:sz w:val="20"/>
                <w:szCs w:val="20"/>
              </w:rPr>
              <w:t xml:space="preserve"> di Valutazione Fornitori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 xml:space="preserve"> (FINANCE)</w:t>
            </w:r>
          </w:p>
          <w:p w14:paraId="2FA91A61" w14:textId="77777777" w:rsidR="005713EE" w:rsidRDefault="005713EE" w:rsidP="005713EE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65B6CF" w14:textId="737C2155" w:rsidR="00C91B68" w:rsidRDefault="7A9EC2A4" w:rsidP="009E622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Garantire 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in modo efficace ed efficiente la 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gestione di </w:t>
            </w:r>
            <w:proofErr w:type="spellStart"/>
            <w:r w:rsidRPr="3711C227">
              <w:rPr>
                <w:rFonts w:ascii="Verdana" w:hAnsi="Verdana" w:cs="Arial"/>
                <w:sz w:val="20"/>
                <w:szCs w:val="20"/>
              </w:rPr>
              <w:t>claims</w:t>
            </w:r>
            <w:proofErr w:type="spellEnd"/>
            <w:r w:rsidRPr="3711C227">
              <w:rPr>
                <w:rFonts w:ascii="Verdana" w:hAnsi="Verdana" w:cs="Arial"/>
                <w:sz w:val="20"/>
                <w:szCs w:val="20"/>
              </w:rPr>
              <w:t xml:space="preserve">, richieste di chiarimento, rimborsi e </w:t>
            </w:r>
            <w:proofErr w:type="spellStart"/>
            <w:r w:rsidRPr="3711C227">
              <w:rPr>
                <w:rFonts w:ascii="Verdana" w:hAnsi="Verdana" w:cs="Arial"/>
                <w:sz w:val="20"/>
                <w:szCs w:val="20"/>
              </w:rPr>
              <w:t>onboarding</w:t>
            </w:r>
            <w:proofErr w:type="spellEnd"/>
            <w:r w:rsidRPr="3711C2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5961FDE5" w:rsidRPr="3711C227">
              <w:rPr>
                <w:rFonts w:ascii="Verdana" w:hAnsi="Verdana" w:cs="Arial"/>
                <w:sz w:val="20"/>
                <w:szCs w:val="20"/>
              </w:rPr>
              <w:t>clientelare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5961FDE5" w:rsidRPr="3711C227">
              <w:rPr>
                <w:rFonts w:ascii="Verdana" w:hAnsi="Verdana" w:cs="Arial"/>
                <w:sz w:val="20"/>
                <w:szCs w:val="20"/>
              </w:rPr>
              <w:t>supportando i vari dipartimenti aziendali</w:t>
            </w:r>
            <w:r w:rsidR="5BB29D50" w:rsidRPr="3711C227">
              <w:rPr>
                <w:rFonts w:ascii="Verdana" w:hAnsi="Verdana" w:cs="Arial"/>
                <w:sz w:val="20"/>
                <w:szCs w:val="20"/>
              </w:rPr>
              <w:t xml:space="preserve"> rispetto ai processi comuni; </w:t>
            </w:r>
            <w:r w:rsidR="00557486">
              <w:rPr>
                <w:rFonts w:ascii="Verdana" w:hAnsi="Verdana" w:cs="Arial"/>
                <w:sz w:val="20"/>
                <w:szCs w:val="20"/>
              </w:rPr>
              <w:t xml:space="preserve">contribuire al buon esito del servizio tramite un monitoraggio proattivo </w:t>
            </w:r>
            <w:r w:rsidR="00841782">
              <w:rPr>
                <w:rFonts w:ascii="Verdana" w:hAnsi="Verdana" w:cs="Arial"/>
                <w:sz w:val="20"/>
                <w:szCs w:val="20"/>
              </w:rPr>
              <w:t xml:space="preserve">ed eventuale segnalazione delle problematiche inerenti alle </w:t>
            </w:r>
            <w:r w:rsidR="00557486">
              <w:rPr>
                <w:rFonts w:ascii="Verdana" w:hAnsi="Verdana" w:cs="Arial"/>
                <w:sz w:val="20"/>
                <w:szCs w:val="20"/>
              </w:rPr>
              <w:t xml:space="preserve">principali line di inoltro tramite i portali dedicati 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>(CUSTOMER EXCELLENCE)</w:t>
            </w:r>
          </w:p>
          <w:p w14:paraId="2A22E630" w14:textId="77777777" w:rsidR="005713EE" w:rsidRPr="00290970" w:rsidRDefault="005713EE" w:rsidP="005713EE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E581C0" w14:textId="77C7519A" w:rsidR="00290970" w:rsidRDefault="00EF1783" w:rsidP="009E6227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Analizzare</w:t>
            </w:r>
            <w:r w:rsidR="00290970" w:rsidRPr="00290970">
              <w:rPr>
                <w:rFonts w:ascii="Verdana" w:hAnsi="Verdana" w:cs="Arial"/>
                <w:sz w:val="20"/>
                <w:szCs w:val="20"/>
              </w:rPr>
              <w:t xml:space="preserve"> le segnalazioni eventualmente emerse dagli audit interni ed esterni, al fine di definire azioni di miglioramento adeguate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00210C">
              <w:rPr>
                <w:rFonts w:ascii="Verdana" w:hAnsi="Verdana" w:cs="Arial"/>
                <w:sz w:val="20"/>
                <w:szCs w:val="20"/>
              </w:rPr>
              <w:t>RGQA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="00E743C4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AAF7312" w14:textId="77777777" w:rsidR="005713EE" w:rsidRDefault="005713EE" w:rsidP="007E56A0">
            <w:pPr>
              <w:pStyle w:val="Paragrafoelenco"/>
              <w:ind w:left="0"/>
              <w:rPr>
                <w:rFonts w:ascii="Verdana" w:hAnsi="Verdana" w:cs="Arial"/>
                <w:sz w:val="20"/>
              </w:rPr>
            </w:pPr>
          </w:p>
          <w:p w14:paraId="17DE6EF4" w14:textId="77777777" w:rsidR="005713EE" w:rsidRPr="00290970" w:rsidRDefault="005713EE" w:rsidP="005713E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535251" w14:textId="77777777" w:rsidR="00724409" w:rsidRDefault="00B730C9" w:rsidP="00031A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3711C227">
              <w:rPr>
                <w:rFonts w:ascii="Verdana" w:hAnsi="Verdana" w:cs="Arial"/>
                <w:sz w:val="20"/>
                <w:szCs w:val="20"/>
              </w:rPr>
              <w:t xml:space="preserve">La Direzione è </w:t>
            </w:r>
            <w:r w:rsidR="2F6E89E9" w:rsidRPr="3711C227">
              <w:rPr>
                <w:rFonts w:ascii="Verdana" w:hAnsi="Verdana" w:cs="Arial"/>
                <w:sz w:val="20"/>
                <w:szCs w:val="20"/>
              </w:rPr>
              <w:t xml:space="preserve">altresì 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 impegnata nel favorire lo sviluppo </w:t>
            </w:r>
            <w:r w:rsidR="2F6E89E9" w:rsidRPr="3711C227">
              <w:rPr>
                <w:rFonts w:ascii="Verdana" w:hAnsi="Verdana" w:cs="Arial"/>
                <w:sz w:val="20"/>
                <w:szCs w:val="20"/>
              </w:rPr>
              <w:t>dell’Organizzazione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 xml:space="preserve"> nel rispetto dell’ambiente e della sicurezza e a valorizzare il contributo di tutti i dipendenti nella creazione di un ambiente di lavoro sereno e costruttivo, considerando che ciò è implicito nell’operare secondo Qualità</w:t>
            </w:r>
            <w:r w:rsidRPr="3711C227">
              <w:rPr>
                <w:rFonts w:ascii="Verdana" w:hAnsi="Verdana" w:cs="Arial"/>
                <w:sz w:val="20"/>
                <w:szCs w:val="20"/>
              </w:rPr>
              <w:t>, g</w:t>
            </w:r>
            <w:r w:rsidR="15073928" w:rsidRPr="3711C227">
              <w:rPr>
                <w:rFonts w:ascii="Verdana" w:hAnsi="Verdana" w:cs="Arial"/>
                <w:sz w:val="20"/>
                <w:szCs w:val="20"/>
              </w:rPr>
              <w:t>est</w:t>
            </w:r>
            <w:r w:rsidRPr="3711C227">
              <w:rPr>
                <w:rFonts w:ascii="Verdana" w:hAnsi="Verdana" w:cs="Arial"/>
                <w:sz w:val="20"/>
                <w:szCs w:val="20"/>
              </w:rPr>
              <w:t>endo</w:t>
            </w:r>
            <w:r w:rsidR="00290970" w:rsidRPr="3711C227">
              <w:rPr>
                <w:rFonts w:ascii="Verdana" w:hAnsi="Verdana" w:cs="Arial"/>
                <w:sz w:val="20"/>
                <w:szCs w:val="20"/>
              </w:rPr>
              <w:t xml:space="preserve"> i rischi individuati e cogliendo le opportunità di miglioramento</w:t>
            </w:r>
            <w:r w:rsidRPr="3711C227">
              <w:rPr>
                <w:rFonts w:ascii="Verdana" w:hAnsi="Verdana" w:cs="Arial"/>
                <w:sz w:val="20"/>
                <w:szCs w:val="20"/>
              </w:rPr>
              <w:t>,</w:t>
            </w:r>
            <w:r w:rsidR="2F6E89E9" w:rsidRPr="3711C227">
              <w:rPr>
                <w:rFonts w:ascii="Verdana" w:hAnsi="Verdana" w:cs="Arial"/>
                <w:sz w:val="20"/>
                <w:szCs w:val="20"/>
              </w:rPr>
              <w:t xml:space="preserve"> e</w:t>
            </w:r>
            <w:r w:rsidRPr="3711C227">
              <w:rPr>
                <w:rFonts w:ascii="Verdana" w:hAnsi="Verdana" w:cs="Arial"/>
                <w:sz w:val="20"/>
                <w:szCs w:val="20"/>
              </w:rPr>
              <w:t xml:space="preserve"> coadiuvata dal RGQA nell’ analizzare le segnalazioni eventualmente emerse dagli audit interni ed esterni, al fine di definire azioni di miglioramento adeguate</w:t>
            </w:r>
            <w:r w:rsidR="0033166B" w:rsidRPr="3711C227">
              <w:rPr>
                <w:rFonts w:ascii="Verdana" w:hAnsi="Verdana" w:cs="Arial"/>
                <w:sz w:val="20"/>
                <w:szCs w:val="20"/>
              </w:rPr>
              <w:t xml:space="preserve">. Nell’ambito di queste attività viene attenzionata la ricerca di </w:t>
            </w:r>
            <w:r w:rsidR="0AA1D8FD" w:rsidRPr="3711C227">
              <w:rPr>
                <w:rFonts w:ascii="Verdana" w:hAnsi="Verdana" w:cs="Arial"/>
                <w:sz w:val="20"/>
                <w:szCs w:val="20"/>
              </w:rPr>
              <w:t>modalità operative che favoriscano il risparmio dell’energia e la riduzione dell’inquinamento, il riciclaggio dei rifiuti</w:t>
            </w:r>
            <w:r w:rsidR="0033166B" w:rsidRPr="3711C22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689D8CC" w14:textId="77777777" w:rsidR="0033166B" w:rsidRDefault="0033166B" w:rsidP="0033166B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4EEF1E" w14:textId="77777777" w:rsidR="0033166B" w:rsidRDefault="0033166B" w:rsidP="0033166B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1C52B9" w14:textId="759EC3A4" w:rsidR="3711C227" w:rsidRDefault="3711C227" w:rsidP="3711C227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DBFFFD" w14:textId="61104EF7" w:rsidR="3711C227" w:rsidRDefault="3711C227" w:rsidP="3711C227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C37FFAE" w14:textId="77777777" w:rsidR="0033166B" w:rsidRDefault="0033166B" w:rsidP="0033166B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588F61" w14:textId="77777777" w:rsidR="0033166B" w:rsidRPr="0033166B" w:rsidRDefault="0033166B" w:rsidP="0033166B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F814106" w14:textId="77777777" w:rsidR="00290970" w:rsidRPr="00290970" w:rsidRDefault="00290970" w:rsidP="00290970">
            <w:pPr>
              <w:ind w:left="7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08FAB4D" w14:textId="77777777" w:rsidR="0033166B" w:rsidRDefault="00290970" w:rsidP="00026B05">
      <w:pPr>
        <w:jc w:val="both"/>
        <w:rPr>
          <w:rFonts w:ascii="Verdana" w:hAnsi="Verdana" w:cs="Arial"/>
          <w:sz w:val="20"/>
          <w:szCs w:val="20"/>
        </w:rPr>
      </w:pPr>
      <w:r w:rsidRPr="00290970">
        <w:rPr>
          <w:rFonts w:ascii="Verdana" w:hAnsi="Verdana" w:cs="Arial"/>
          <w:sz w:val="20"/>
          <w:szCs w:val="20"/>
        </w:rPr>
        <w:lastRenderedPageBreak/>
        <w:t>M</w:t>
      </w:r>
      <w:r w:rsidR="00864EDC" w:rsidRPr="00290970">
        <w:rPr>
          <w:rFonts w:ascii="Verdana" w:hAnsi="Verdana" w:cs="Arial"/>
          <w:sz w:val="20"/>
          <w:szCs w:val="20"/>
        </w:rPr>
        <w:t>ontano Lucino</w:t>
      </w:r>
      <w:r w:rsidR="0067522E" w:rsidRPr="00290970">
        <w:rPr>
          <w:rFonts w:ascii="Verdana" w:hAnsi="Verdana" w:cs="Arial"/>
          <w:sz w:val="20"/>
          <w:szCs w:val="20"/>
        </w:rPr>
        <w:t xml:space="preserve">, </w:t>
      </w:r>
      <w:r w:rsidR="0033166B">
        <w:rPr>
          <w:rFonts w:ascii="Verdana" w:hAnsi="Verdana" w:cs="Arial"/>
          <w:sz w:val="20"/>
          <w:szCs w:val="20"/>
        </w:rPr>
        <w:t>30/07/2024</w:t>
      </w:r>
      <w:r w:rsidR="00026B05" w:rsidRPr="00290970">
        <w:rPr>
          <w:rFonts w:ascii="Verdana" w:hAnsi="Verdana" w:cs="Arial"/>
          <w:sz w:val="20"/>
          <w:szCs w:val="20"/>
        </w:rPr>
        <w:tab/>
      </w:r>
    </w:p>
    <w:p w14:paraId="12AB8104" w14:textId="77777777" w:rsidR="0033166B" w:rsidRDefault="0033166B" w:rsidP="00026B05">
      <w:pPr>
        <w:jc w:val="both"/>
        <w:rPr>
          <w:rFonts w:ascii="Verdana" w:hAnsi="Verdana" w:cs="Arial"/>
          <w:sz w:val="20"/>
          <w:szCs w:val="20"/>
        </w:rPr>
      </w:pPr>
    </w:p>
    <w:p w14:paraId="58813A56" w14:textId="77777777" w:rsidR="0033166B" w:rsidRDefault="0033166B" w:rsidP="00026B05">
      <w:pPr>
        <w:jc w:val="both"/>
        <w:rPr>
          <w:rFonts w:ascii="Verdana" w:hAnsi="Verdana" w:cs="Arial"/>
          <w:sz w:val="20"/>
          <w:szCs w:val="20"/>
        </w:rPr>
      </w:pPr>
    </w:p>
    <w:p w14:paraId="70A7E4CF" w14:textId="77777777" w:rsidR="0033166B" w:rsidRDefault="0033166B" w:rsidP="00026B05">
      <w:pPr>
        <w:jc w:val="both"/>
        <w:rPr>
          <w:rFonts w:ascii="Verdana" w:hAnsi="Verdana" w:cs="Arial"/>
          <w:sz w:val="20"/>
          <w:szCs w:val="20"/>
        </w:rPr>
      </w:pPr>
    </w:p>
    <w:p w14:paraId="7401C4CB" w14:textId="77777777" w:rsidR="0033166B" w:rsidRDefault="0033166B" w:rsidP="00026B05">
      <w:pPr>
        <w:jc w:val="both"/>
        <w:rPr>
          <w:rFonts w:ascii="Verdana" w:hAnsi="Verdana" w:cs="Arial"/>
          <w:sz w:val="20"/>
          <w:szCs w:val="20"/>
        </w:rPr>
      </w:pPr>
    </w:p>
    <w:p w14:paraId="02E799A9" w14:textId="77777777" w:rsidR="00687ED6" w:rsidRDefault="00687ED6" w:rsidP="00026B05">
      <w:pPr>
        <w:jc w:val="both"/>
        <w:rPr>
          <w:rFonts w:ascii="Verdana" w:hAnsi="Verdana" w:cs="Arial"/>
          <w:sz w:val="20"/>
          <w:szCs w:val="20"/>
        </w:rPr>
      </w:pPr>
    </w:p>
    <w:p w14:paraId="09FE89E4" w14:textId="77777777" w:rsidR="00687ED6" w:rsidRDefault="00687ED6" w:rsidP="00026B05">
      <w:pPr>
        <w:jc w:val="both"/>
        <w:rPr>
          <w:rFonts w:ascii="Verdana" w:hAnsi="Verdana" w:cs="Arial"/>
          <w:sz w:val="20"/>
          <w:szCs w:val="20"/>
        </w:rPr>
      </w:pPr>
    </w:p>
    <w:p w14:paraId="04FCAABA" w14:textId="77777777" w:rsidR="00026B05" w:rsidRPr="00290970" w:rsidRDefault="00026B05" w:rsidP="00026B05">
      <w:pPr>
        <w:jc w:val="both"/>
        <w:rPr>
          <w:rFonts w:ascii="Verdana" w:hAnsi="Verdana" w:cs="Arial"/>
          <w:sz w:val="20"/>
          <w:szCs w:val="20"/>
        </w:rPr>
      </w:pPr>
      <w:r w:rsidRPr="00290970">
        <w:rPr>
          <w:rFonts w:ascii="Verdana" w:hAnsi="Verdana" w:cs="Arial"/>
          <w:sz w:val="20"/>
          <w:szCs w:val="20"/>
        </w:rPr>
        <w:tab/>
      </w:r>
      <w:r w:rsidRPr="00290970">
        <w:rPr>
          <w:rFonts w:ascii="Verdana" w:hAnsi="Verdana" w:cs="Arial"/>
          <w:sz w:val="20"/>
          <w:szCs w:val="20"/>
        </w:rPr>
        <w:tab/>
      </w:r>
      <w:r w:rsidRPr="00290970">
        <w:rPr>
          <w:rFonts w:ascii="Verdana" w:hAnsi="Verdana" w:cs="Arial"/>
          <w:sz w:val="20"/>
          <w:szCs w:val="20"/>
        </w:rPr>
        <w:tab/>
      </w:r>
      <w:r w:rsidRPr="00290970">
        <w:rPr>
          <w:rFonts w:ascii="Verdana" w:hAnsi="Verdana" w:cs="Arial"/>
          <w:sz w:val="20"/>
          <w:szCs w:val="20"/>
        </w:rPr>
        <w:tab/>
      </w:r>
      <w:r w:rsidRPr="00290970">
        <w:rPr>
          <w:rFonts w:ascii="Verdana" w:hAnsi="Verdana" w:cs="Arial"/>
          <w:sz w:val="20"/>
          <w:szCs w:val="20"/>
        </w:rPr>
        <w:tab/>
      </w:r>
      <w:r w:rsidRPr="00290970">
        <w:rPr>
          <w:rFonts w:ascii="Verdana" w:hAnsi="Verdana" w:cs="Arial"/>
          <w:sz w:val="20"/>
          <w:szCs w:val="20"/>
        </w:rPr>
        <w:tab/>
        <w:t xml:space="preserve"> </w:t>
      </w:r>
    </w:p>
    <w:p w14:paraId="6C2E6332" w14:textId="77777777" w:rsidR="00026B05" w:rsidRPr="00290970" w:rsidRDefault="00026B05" w:rsidP="00026B05">
      <w:pPr>
        <w:ind w:left="6372" w:firstLine="708"/>
        <w:jc w:val="both"/>
        <w:rPr>
          <w:rFonts w:ascii="Verdana" w:hAnsi="Verdana" w:cs="Arial"/>
          <w:sz w:val="20"/>
          <w:szCs w:val="20"/>
        </w:rPr>
      </w:pPr>
      <w:r w:rsidRPr="00290970">
        <w:rPr>
          <w:rFonts w:ascii="Verdana" w:hAnsi="Verdana" w:cs="Arial"/>
          <w:sz w:val="20"/>
          <w:szCs w:val="20"/>
        </w:rPr>
        <w:t>La Direzione Generale</w:t>
      </w:r>
    </w:p>
    <w:p w14:paraId="4AA06A9B" w14:textId="77777777" w:rsidR="00F00544" w:rsidRPr="00290970" w:rsidRDefault="00F00544" w:rsidP="00026B05">
      <w:pPr>
        <w:rPr>
          <w:rFonts w:ascii="Verdana" w:hAnsi="Verdana" w:cs="Arial"/>
          <w:sz w:val="20"/>
          <w:szCs w:val="20"/>
        </w:rPr>
      </w:pPr>
    </w:p>
    <w:sectPr w:rsidR="00F00544" w:rsidRPr="00290970" w:rsidSect="00026B05">
      <w:headerReference w:type="default" r:id="rId11"/>
      <w:footerReference w:type="defaul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00F2" w14:textId="77777777" w:rsidR="004F1777" w:rsidRDefault="004F1777" w:rsidP="009F0D31">
      <w:pPr>
        <w:pStyle w:val="a"/>
      </w:pPr>
      <w:r>
        <w:separator/>
      </w:r>
    </w:p>
  </w:endnote>
  <w:endnote w:type="continuationSeparator" w:id="0">
    <w:p w14:paraId="2A5480C8" w14:textId="77777777" w:rsidR="004F1777" w:rsidRDefault="004F1777" w:rsidP="009F0D31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B2FB" w14:textId="77777777" w:rsidR="00864EDC" w:rsidRPr="00864EDC" w:rsidRDefault="3711C227">
    <w:pPr>
      <w:pStyle w:val="Pidipagina"/>
      <w:rPr>
        <w:rFonts w:ascii="Verdana" w:hAnsi="Verdana"/>
        <w:sz w:val="20"/>
        <w:szCs w:val="20"/>
      </w:rPr>
    </w:pPr>
    <w:r w:rsidRPr="3711C227">
      <w:rPr>
        <w:rFonts w:ascii="Verdana" w:hAnsi="Verdana"/>
        <w:sz w:val="20"/>
        <w:szCs w:val="20"/>
      </w:rPr>
      <w:t xml:space="preserve">Politica SGI </w:t>
    </w:r>
    <w:proofErr w:type="spellStart"/>
    <w:r w:rsidRPr="3711C227">
      <w:rPr>
        <w:rFonts w:ascii="Verdana" w:hAnsi="Verdana" w:cs="Arial"/>
        <w:sz w:val="20"/>
        <w:szCs w:val="20"/>
      </w:rPr>
      <w:t>Rev</w:t>
    </w:r>
    <w:proofErr w:type="spellEnd"/>
    <w:r w:rsidRPr="3711C227">
      <w:rPr>
        <w:rFonts w:ascii="Verdana" w:hAnsi="Verdana" w:cs="Arial"/>
        <w:sz w:val="20"/>
        <w:szCs w:val="20"/>
      </w:rPr>
      <w:t xml:space="preserve"> 1 del 22.03.2024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F285" w14:textId="77777777" w:rsidR="004F1777" w:rsidRDefault="004F1777" w:rsidP="009F0D31">
      <w:pPr>
        <w:pStyle w:val="a"/>
      </w:pPr>
      <w:r>
        <w:separator/>
      </w:r>
    </w:p>
  </w:footnote>
  <w:footnote w:type="continuationSeparator" w:id="0">
    <w:p w14:paraId="6E120942" w14:textId="77777777" w:rsidR="004F1777" w:rsidRDefault="004F1777" w:rsidP="009F0D31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3578"/>
      <w:gridCol w:w="6050"/>
    </w:tblGrid>
    <w:tr w:rsidR="00864EDC" w:rsidRPr="00864EDC" w14:paraId="640CE2D8" w14:textId="77777777" w:rsidTr="3711C227">
      <w:trPr>
        <w:trHeight w:val="545"/>
      </w:trPr>
      <w:tc>
        <w:tcPr>
          <w:tcW w:w="1858" w:type="pct"/>
          <w:shd w:val="clear" w:color="auto" w:fill="FFFFFF" w:themeFill="background1"/>
          <w:tcMar>
            <w:top w:w="72" w:type="dxa"/>
            <w:left w:w="144" w:type="dxa"/>
            <w:bottom w:w="72" w:type="dxa"/>
            <w:right w:w="144" w:type="dxa"/>
          </w:tcMar>
          <w:vAlign w:val="center"/>
        </w:tcPr>
        <w:p w14:paraId="27F8B6F3" w14:textId="77777777" w:rsidR="00864EDC" w:rsidRPr="006C4C83" w:rsidRDefault="0096459E" w:rsidP="0096459E">
          <w:pPr>
            <w:pStyle w:val="Intestazione"/>
            <w:jc w:val="center"/>
            <w:rPr>
              <w:rFonts w:ascii="Verdana" w:hAnsi="Verdana" w:cs="Arial"/>
              <w:b/>
              <w:sz w:val="32"/>
              <w:szCs w:val="32"/>
              <w:lang w:val="en-US"/>
            </w:rPr>
          </w:pPr>
          <w:r w:rsidRPr="006C4C83">
            <w:rPr>
              <w:rFonts w:ascii="Verdana" w:hAnsi="Verdana" w:cs="Arial"/>
              <w:b/>
              <w:sz w:val="32"/>
              <w:szCs w:val="32"/>
              <w:lang w:val="en-US"/>
            </w:rPr>
            <w:t>G3 WORLDWIDE MAIL (ITALY) SRL</w:t>
          </w:r>
        </w:p>
      </w:tc>
      <w:tc>
        <w:tcPr>
          <w:tcW w:w="3142" w:type="pct"/>
          <w:shd w:val="clear" w:color="auto" w:fill="FFFFFF" w:themeFill="background1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B8F5C5A" w14:textId="77777777" w:rsidR="00864EDC" w:rsidRPr="00864EDC" w:rsidRDefault="3711C227" w:rsidP="3711C227">
          <w:pPr>
            <w:pStyle w:val="Intestazione"/>
            <w:jc w:val="center"/>
            <w:rPr>
              <w:rFonts w:ascii="Verdana" w:hAnsi="Verdana" w:cs="Arial"/>
              <w:b/>
              <w:bCs/>
              <w:sz w:val="32"/>
              <w:szCs w:val="32"/>
            </w:rPr>
          </w:pPr>
          <w:r w:rsidRPr="3711C227">
            <w:rPr>
              <w:rFonts w:ascii="Verdana" w:hAnsi="Verdana" w:cs="Arial"/>
              <w:b/>
              <w:bCs/>
              <w:sz w:val="32"/>
              <w:szCs w:val="32"/>
            </w:rPr>
            <w:t>POLITICA SGI</w:t>
          </w:r>
        </w:p>
        <w:p w14:paraId="15D69488" w14:textId="77777777" w:rsidR="00864EDC" w:rsidRPr="00864EDC" w:rsidRDefault="00864EDC" w:rsidP="002C5010">
          <w:pPr>
            <w:pStyle w:val="Intestazione"/>
            <w:jc w:val="center"/>
            <w:rPr>
              <w:rFonts w:ascii="Verdana" w:hAnsi="Verdana" w:cs="Arial"/>
              <w:b/>
              <w:sz w:val="32"/>
              <w:szCs w:val="32"/>
            </w:rPr>
          </w:pPr>
          <w:r w:rsidRPr="00864EDC">
            <w:rPr>
              <w:rFonts w:ascii="Verdana" w:hAnsi="Verdana" w:cs="Arial"/>
              <w:b/>
              <w:sz w:val="32"/>
              <w:szCs w:val="32"/>
            </w:rPr>
            <w:t>IMPEGNO DELLA DIREZIONE</w:t>
          </w:r>
        </w:p>
      </w:tc>
    </w:tr>
  </w:tbl>
  <w:p w14:paraId="5D677692" w14:textId="77777777" w:rsidR="002C5010" w:rsidRDefault="002C50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6875"/>
    <w:multiLevelType w:val="hybridMultilevel"/>
    <w:tmpl w:val="DEA27C08"/>
    <w:lvl w:ilvl="0" w:tplc="69F0AE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61B"/>
    <w:multiLevelType w:val="hybridMultilevel"/>
    <w:tmpl w:val="92320E2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1B3AC0"/>
    <w:multiLevelType w:val="hybridMultilevel"/>
    <w:tmpl w:val="120462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23F66"/>
    <w:multiLevelType w:val="hybridMultilevel"/>
    <w:tmpl w:val="D7E4D7D4"/>
    <w:lvl w:ilvl="0" w:tplc="A9DCFB6E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4B5A"/>
    <w:multiLevelType w:val="hybridMultilevel"/>
    <w:tmpl w:val="17A45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D49D7"/>
    <w:multiLevelType w:val="hybridMultilevel"/>
    <w:tmpl w:val="E54C57F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0AB4A38"/>
    <w:multiLevelType w:val="hybridMultilevel"/>
    <w:tmpl w:val="D99489D8"/>
    <w:lvl w:ilvl="0" w:tplc="A9DCFB6E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258E"/>
    <w:multiLevelType w:val="hybridMultilevel"/>
    <w:tmpl w:val="EB4433A2"/>
    <w:lvl w:ilvl="0" w:tplc="A9DCFB6E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F14C9"/>
    <w:multiLevelType w:val="hybridMultilevel"/>
    <w:tmpl w:val="2716F660"/>
    <w:lvl w:ilvl="0" w:tplc="BB44D1F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A76356"/>
    <w:multiLevelType w:val="hybridMultilevel"/>
    <w:tmpl w:val="3436453A"/>
    <w:lvl w:ilvl="0" w:tplc="A9DCFB6E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85105"/>
    <w:multiLevelType w:val="hybridMultilevel"/>
    <w:tmpl w:val="E7962BA4"/>
    <w:lvl w:ilvl="0" w:tplc="CF70B9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22C53"/>
    <w:multiLevelType w:val="hybridMultilevel"/>
    <w:tmpl w:val="6B62F75A"/>
    <w:lvl w:ilvl="0" w:tplc="A9DCFB6E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7282"/>
    <w:multiLevelType w:val="hybridMultilevel"/>
    <w:tmpl w:val="7608AF82"/>
    <w:lvl w:ilvl="0" w:tplc="C12C47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7EE2"/>
    <w:multiLevelType w:val="hybridMultilevel"/>
    <w:tmpl w:val="EE04AF4E"/>
    <w:lvl w:ilvl="0" w:tplc="A9DCFB6E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82F"/>
    <w:multiLevelType w:val="hybridMultilevel"/>
    <w:tmpl w:val="E6C8132C"/>
    <w:lvl w:ilvl="0" w:tplc="8892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DC7AF6"/>
    <w:multiLevelType w:val="hybridMultilevel"/>
    <w:tmpl w:val="58727F7E"/>
    <w:lvl w:ilvl="0" w:tplc="BA606B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5623B"/>
    <w:multiLevelType w:val="hybridMultilevel"/>
    <w:tmpl w:val="634CD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5E30"/>
    <w:multiLevelType w:val="hybridMultilevel"/>
    <w:tmpl w:val="0BDEAE2E"/>
    <w:lvl w:ilvl="0" w:tplc="8B64F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22585"/>
    <w:multiLevelType w:val="hybridMultilevel"/>
    <w:tmpl w:val="C6CAAA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0D4E68"/>
    <w:multiLevelType w:val="hybridMultilevel"/>
    <w:tmpl w:val="68E227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F1DB6"/>
    <w:multiLevelType w:val="hybridMultilevel"/>
    <w:tmpl w:val="9E0E0C3C"/>
    <w:lvl w:ilvl="0" w:tplc="4F3288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F4410"/>
    <w:multiLevelType w:val="hybridMultilevel"/>
    <w:tmpl w:val="9BCA1BDC"/>
    <w:lvl w:ilvl="0" w:tplc="3E7CAE7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7377745">
    <w:abstractNumId w:val="16"/>
  </w:num>
  <w:num w:numId="2" w16cid:durableId="2103601829">
    <w:abstractNumId w:val="4"/>
  </w:num>
  <w:num w:numId="3" w16cid:durableId="380832551">
    <w:abstractNumId w:val="19"/>
  </w:num>
  <w:num w:numId="4" w16cid:durableId="62994261">
    <w:abstractNumId w:val="11"/>
  </w:num>
  <w:num w:numId="5" w16cid:durableId="1865902708">
    <w:abstractNumId w:val="6"/>
  </w:num>
  <w:num w:numId="6" w16cid:durableId="547835467">
    <w:abstractNumId w:val="9"/>
  </w:num>
  <w:num w:numId="7" w16cid:durableId="1208680469">
    <w:abstractNumId w:val="3"/>
  </w:num>
  <w:num w:numId="8" w16cid:durableId="1594389644">
    <w:abstractNumId w:val="13"/>
  </w:num>
  <w:num w:numId="9" w16cid:durableId="1633093378">
    <w:abstractNumId w:val="7"/>
  </w:num>
  <w:num w:numId="10" w16cid:durableId="251745792">
    <w:abstractNumId w:val="0"/>
  </w:num>
  <w:num w:numId="11" w16cid:durableId="108863418">
    <w:abstractNumId w:val="10"/>
  </w:num>
  <w:num w:numId="12" w16cid:durableId="1345015738">
    <w:abstractNumId w:val="14"/>
  </w:num>
  <w:num w:numId="13" w16cid:durableId="1354261813">
    <w:abstractNumId w:val="12"/>
  </w:num>
  <w:num w:numId="14" w16cid:durableId="1769277984">
    <w:abstractNumId w:val="15"/>
  </w:num>
  <w:num w:numId="15" w16cid:durableId="700743316">
    <w:abstractNumId w:val="21"/>
  </w:num>
  <w:num w:numId="16" w16cid:durableId="1002929232">
    <w:abstractNumId w:val="1"/>
  </w:num>
  <w:num w:numId="17" w16cid:durableId="1631663354">
    <w:abstractNumId w:val="8"/>
  </w:num>
  <w:num w:numId="18" w16cid:durableId="506336407">
    <w:abstractNumId w:val="2"/>
  </w:num>
  <w:num w:numId="19" w16cid:durableId="375088922">
    <w:abstractNumId w:val="18"/>
  </w:num>
  <w:num w:numId="20" w16cid:durableId="787624613">
    <w:abstractNumId w:val="5"/>
  </w:num>
  <w:num w:numId="21" w16cid:durableId="395859444">
    <w:abstractNumId w:val="20"/>
  </w:num>
  <w:num w:numId="22" w16cid:durableId="894244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C4"/>
    <w:rsid w:val="0000210C"/>
    <w:rsid w:val="000078DE"/>
    <w:rsid w:val="00026424"/>
    <w:rsid w:val="00026B05"/>
    <w:rsid w:val="00031AAE"/>
    <w:rsid w:val="000A0D4A"/>
    <w:rsid w:val="000B04F7"/>
    <w:rsid w:val="000B2780"/>
    <w:rsid w:val="000F5823"/>
    <w:rsid w:val="00107F09"/>
    <w:rsid w:val="00130DFA"/>
    <w:rsid w:val="001506AC"/>
    <w:rsid w:val="00155F7A"/>
    <w:rsid w:val="00172A6F"/>
    <w:rsid w:val="0018128A"/>
    <w:rsid w:val="001D07D7"/>
    <w:rsid w:val="001D30A8"/>
    <w:rsid w:val="001D3F6F"/>
    <w:rsid w:val="002224F9"/>
    <w:rsid w:val="00222F16"/>
    <w:rsid w:val="0023568D"/>
    <w:rsid w:val="00290970"/>
    <w:rsid w:val="00297DD0"/>
    <w:rsid w:val="002A3F91"/>
    <w:rsid w:val="002B09A1"/>
    <w:rsid w:val="002C5010"/>
    <w:rsid w:val="002D0516"/>
    <w:rsid w:val="002D7BDA"/>
    <w:rsid w:val="002F003A"/>
    <w:rsid w:val="002F55BB"/>
    <w:rsid w:val="00310FD3"/>
    <w:rsid w:val="0033166B"/>
    <w:rsid w:val="00337F46"/>
    <w:rsid w:val="00337FA9"/>
    <w:rsid w:val="00362817"/>
    <w:rsid w:val="003646B1"/>
    <w:rsid w:val="0037096D"/>
    <w:rsid w:val="00376F32"/>
    <w:rsid w:val="00382859"/>
    <w:rsid w:val="003A0FE5"/>
    <w:rsid w:val="003A4C5B"/>
    <w:rsid w:val="003C3B65"/>
    <w:rsid w:val="003C4E5B"/>
    <w:rsid w:val="003E75A2"/>
    <w:rsid w:val="0040390A"/>
    <w:rsid w:val="00406817"/>
    <w:rsid w:val="00444E38"/>
    <w:rsid w:val="00464E12"/>
    <w:rsid w:val="004A1426"/>
    <w:rsid w:val="004B7147"/>
    <w:rsid w:val="004C0934"/>
    <w:rsid w:val="004C6B19"/>
    <w:rsid w:val="004F1777"/>
    <w:rsid w:val="00506EF3"/>
    <w:rsid w:val="005144E8"/>
    <w:rsid w:val="00517B28"/>
    <w:rsid w:val="00517C5D"/>
    <w:rsid w:val="00520755"/>
    <w:rsid w:val="0055197E"/>
    <w:rsid w:val="005519B9"/>
    <w:rsid w:val="0055435B"/>
    <w:rsid w:val="005570C2"/>
    <w:rsid w:val="00557486"/>
    <w:rsid w:val="00560DBF"/>
    <w:rsid w:val="005713EE"/>
    <w:rsid w:val="00607206"/>
    <w:rsid w:val="00617F5C"/>
    <w:rsid w:val="00622ED9"/>
    <w:rsid w:val="0063096D"/>
    <w:rsid w:val="00635CDC"/>
    <w:rsid w:val="00650F5D"/>
    <w:rsid w:val="0067522E"/>
    <w:rsid w:val="00687ED6"/>
    <w:rsid w:val="00693762"/>
    <w:rsid w:val="006A63DC"/>
    <w:rsid w:val="006B63C2"/>
    <w:rsid w:val="006C4C83"/>
    <w:rsid w:val="006D75E2"/>
    <w:rsid w:val="006E064F"/>
    <w:rsid w:val="00723C6F"/>
    <w:rsid w:val="00724409"/>
    <w:rsid w:val="00732E93"/>
    <w:rsid w:val="007666A4"/>
    <w:rsid w:val="007B670C"/>
    <w:rsid w:val="007D6EB0"/>
    <w:rsid w:val="007E2C48"/>
    <w:rsid w:val="007E56A0"/>
    <w:rsid w:val="008022CE"/>
    <w:rsid w:val="00820DA0"/>
    <w:rsid w:val="0083563B"/>
    <w:rsid w:val="00836086"/>
    <w:rsid w:val="00841782"/>
    <w:rsid w:val="00850F1F"/>
    <w:rsid w:val="008626DC"/>
    <w:rsid w:val="00862E9D"/>
    <w:rsid w:val="00864EDC"/>
    <w:rsid w:val="00886052"/>
    <w:rsid w:val="008907E9"/>
    <w:rsid w:val="008B78EF"/>
    <w:rsid w:val="008E3120"/>
    <w:rsid w:val="008E5D77"/>
    <w:rsid w:val="008F477A"/>
    <w:rsid w:val="008F5107"/>
    <w:rsid w:val="00903A8B"/>
    <w:rsid w:val="00904DA0"/>
    <w:rsid w:val="00920992"/>
    <w:rsid w:val="00930549"/>
    <w:rsid w:val="0094136E"/>
    <w:rsid w:val="009525CD"/>
    <w:rsid w:val="00963CBF"/>
    <w:rsid w:val="0096459E"/>
    <w:rsid w:val="009721C8"/>
    <w:rsid w:val="00996E59"/>
    <w:rsid w:val="009A0D83"/>
    <w:rsid w:val="009A5167"/>
    <w:rsid w:val="009B0157"/>
    <w:rsid w:val="009B69A4"/>
    <w:rsid w:val="009E6227"/>
    <w:rsid w:val="009F0D31"/>
    <w:rsid w:val="00A04F8D"/>
    <w:rsid w:val="00A15BA2"/>
    <w:rsid w:val="00A21E18"/>
    <w:rsid w:val="00A33AC0"/>
    <w:rsid w:val="00A425B9"/>
    <w:rsid w:val="00A43F19"/>
    <w:rsid w:val="00A44DDE"/>
    <w:rsid w:val="00A62465"/>
    <w:rsid w:val="00A63431"/>
    <w:rsid w:val="00A674DF"/>
    <w:rsid w:val="00A73BFF"/>
    <w:rsid w:val="00A87D12"/>
    <w:rsid w:val="00A91540"/>
    <w:rsid w:val="00A923DA"/>
    <w:rsid w:val="00A9577D"/>
    <w:rsid w:val="00A95C52"/>
    <w:rsid w:val="00A964D3"/>
    <w:rsid w:val="00A97384"/>
    <w:rsid w:val="00AB0058"/>
    <w:rsid w:val="00AB03E2"/>
    <w:rsid w:val="00AF1A09"/>
    <w:rsid w:val="00B15633"/>
    <w:rsid w:val="00B26932"/>
    <w:rsid w:val="00B43C3A"/>
    <w:rsid w:val="00B44FBD"/>
    <w:rsid w:val="00B464C3"/>
    <w:rsid w:val="00B50D02"/>
    <w:rsid w:val="00B56E4D"/>
    <w:rsid w:val="00B71EE6"/>
    <w:rsid w:val="00B730C9"/>
    <w:rsid w:val="00B978D9"/>
    <w:rsid w:val="00BB5E31"/>
    <w:rsid w:val="00BC3935"/>
    <w:rsid w:val="00BF7CAA"/>
    <w:rsid w:val="00C1107C"/>
    <w:rsid w:val="00C15B5A"/>
    <w:rsid w:val="00C2061F"/>
    <w:rsid w:val="00C220F2"/>
    <w:rsid w:val="00C47047"/>
    <w:rsid w:val="00C5155A"/>
    <w:rsid w:val="00C634C8"/>
    <w:rsid w:val="00C85007"/>
    <w:rsid w:val="00C855A1"/>
    <w:rsid w:val="00C87D5C"/>
    <w:rsid w:val="00C91B68"/>
    <w:rsid w:val="00CC7765"/>
    <w:rsid w:val="00CD11B5"/>
    <w:rsid w:val="00CD3F6E"/>
    <w:rsid w:val="00CD67D5"/>
    <w:rsid w:val="00CF19C6"/>
    <w:rsid w:val="00CF2942"/>
    <w:rsid w:val="00CF3E14"/>
    <w:rsid w:val="00D215AD"/>
    <w:rsid w:val="00D236CF"/>
    <w:rsid w:val="00D30EDD"/>
    <w:rsid w:val="00D32511"/>
    <w:rsid w:val="00D51477"/>
    <w:rsid w:val="00D70A6A"/>
    <w:rsid w:val="00D732C8"/>
    <w:rsid w:val="00DC56EF"/>
    <w:rsid w:val="00DD7BCB"/>
    <w:rsid w:val="00DE4E94"/>
    <w:rsid w:val="00DF77CB"/>
    <w:rsid w:val="00E10A0B"/>
    <w:rsid w:val="00E328F7"/>
    <w:rsid w:val="00E54B7B"/>
    <w:rsid w:val="00E557C2"/>
    <w:rsid w:val="00E743C4"/>
    <w:rsid w:val="00E81B7C"/>
    <w:rsid w:val="00E8234D"/>
    <w:rsid w:val="00ED6F0C"/>
    <w:rsid w:val="00EF1783"/>
    <w:rsid w:val="00EF382C"/>
    <w:rsid w:val="00F00544"/>
    <w:rsid w:val="00F720C2"/>
    <w:rsid w:val="00F94DDA"/>
    <w:rsid w:val="00FB2CA3"/>
    <w:rsid w:val="00FC30F3"/>
    <w:rsid w:val="00FE4EC4"/>
    <w:rsid w:val="02310290"/>
    <w:rsid w:val="023E3B81"/>
    <w:rsid w:val="02A10777"/>
    <w:rsid w:val="0AA1D8FD"/>
    <w:rsid w:val="0C091219"/>
    <w:rsid w:val="0E4B59B9"/>
    <w:rsid w:val="12F451D2"/>
    <w:rsid w:val="14552EAD"/>
    <w:rsid w:val="15073928"/>
    <w:rsid w:val="172AA020"/>
    <w:rsid w:val="1860C8B7"/>
    <w:rsid w:val="1AAE4178"/>
    <w:rsid w:val="1ADC5CAD"/>
    <w:rsid w:val="1FD6C23B"/>
    <w:rsid w:val="27E546D6"/>
    <w:rsid w:val="286C2F60"/>
    <w:rsid w:val="2F6E89E9"/>
    <w:rsid w:val="2FEADDCE"/>
    <w:rsid w:val="3711C227"/>
    <w:rsid w:val="375A6C22"/>
    <w:rsid w:val="3AF1E6BE"/>
    <w:rsid w:val="3CAD0C4E"/>
    <w:rsid w:val="3E3DB0D4"/>
    <w:rsid w:val="44CD9FFA"/>
    <w:rsid w:val="4550407D"/>
    <w:rsid w:val="46FECCD3"/>
    <w:rsid w:val="490563C4"/>
    <w:rsid w:val="52AC55AC"/>
    <w:rsid w:val="5961FDE5"/>
    <w:rsid w:val="5BB29D50"/>
    <w:rsid w:val="5BCB1DD6"/>
    <w:rsid w:val="5E051B2C"/>
    <w:rsid w:val="62A1DC58"/>
    <w:rsid w:val="62B83677"/>
    <w:rsid w:val="643B6D88"/>
    <w:rsid w:val="6B48B742"/>
    <w:rsid w:val="70C6F9C5"/>
    <w:rsid w:val="72782BF2"/>
    <w:rsid w:val="7A9E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08CB8"/>
  <w15:chartTrackingRefBased/>
  <w15:docId w15:val="{D9BBE13A-7C0C-469C-BB17-3970D5FB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7F0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">
    <w:basedOn w:val="Normale"/>
    <w:next w:val="Corpotesto"/>
    <w:rsid w:val="00BB5E31"/>
    <w:pPr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rsid w:val="00BB5E31"/>
    <w:pPr>
      <w:spacing w:after="120"/>
    </w:pPr>
  </w:style>
  <w:style w:type="character" w:customStyle="1" w:styleId="CorpotestoCarattere">
    <w:name w:val="Corpo testo Carattere"/>
    <w:link w:val="Corpotesto"/>
    <w:rsid w:val="00BB5E31"/>
    <w:rPr>
      <w:sz w:val="24"/>
      <w:szCs w:val="24"/>
    </w:rPr>
  </w:style>
  <w:style w:type="character" w:customStyle="1" w:styleId="IntestazioneCarattere">
    <w:name w:val="Intestazione Carattere"/>
    <w:link w:val="Intestazione"/>
    <w:rsid w:val="000F5823"/>
  </w:style>
  <w:style w:type="character" w:customStyle="1" w:styleId="Titolo3Carattere">
    <w:name w:val="Titolo 3 Carattere"/>
    <w:link w:val="Titolo3"/>
    <w:rsid w:val="008022CE"/>
    <w:rPr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2C5010"/>
    <w:pPr>
      <w:ind w:left="720"/>
      <w:contextualSpacing/>
    </w:pPr>
    <w:rPr>
      <w:rFonts w:ascii="Tahoma" w:hAnsi="Tahoma"/>
      <w:sz w:val="22"/>
      <w:szCs w:val="20"/>
    </w:rPr>
  </w:style>
  <w:style w:type="character" w:styleId="Rimandocommento">
    <w:name w:val="annotation reference"/>
    <w:rsid w:val="007E56A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E56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E56A0"/>
  </w:style>
  <w:style w:type="paragraph" w:styleId="Soggettocommento">
    <w:name w:val="annotation subject"/>
    <w:basedOn w:val="Testocommento"/>
    <w:next w:val="Testocommento"/>
    <w:link w:val="SoggettocommentoCarattere"/>
    <w:rsid w:val="007E56A0"/>
    <w:rPr>
      <w:b/>
      <w:bCs/>
    </w:rPr>
  </w:style>
  <w:style w:type="character" w:customStyle="1" w:styleId="SoggettocommentoCarattere">
    <w:name w:val="Soggetto commento Carattere"/>
    <w:link w:val="Soggettocommento"/>
    <w:rsid w:val="007E5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39E39C55D2AE4B8E04B8E6EF4F130C" ma:contentTypeVersion="13" ma:contentTypeDescription="Creare un nuovo documento." ma:contentTypeScope="" ma:versionID="37a0add549e993a38299a26c324d8bb0">
  <xsd:schema xmlns:xsd="http://www.w3.org/2001/XMLSchema" xmlns:xs="http://www.w3.org/2001/XMLSchema" xmlns:p="http://schemas.microsoft.com/office/2006/metadata/properties" xmlns:ns2="1c219ffc-0e18-4455-814f-1902fef39821" xmlns:ns3="b05f6173-1581-40d9-90a8-9c882542845e" xmlns:ns4="4a64d9fb-6307-4cef-92d7-03c2cca2b700" targetNamespace="http://schemas.microsoft.com/office/2006/metadata/properties" ma:root="true" ma:fieldsID="574ef49889f6a894843429d01b011057" ns2:_="" ns3:_="" ns4:_="">
    <xsd:import namespace="1c219ffc-0e18-4455-814f-1902fef39821"/>
    <xsd:import namespace="b05f6173-1581-40d9-90a8-9c882542845e"/>
    <xsd:import namespace="4a64d9fb-6307-4cef-92d7-03c2cca2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9ffc-0e18-4455-814f-1902fef3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fdd1858-e21a-4dc0-9eb0-0eda04e42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f6173-1581-40d9-90a8-9c8825428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4d9fb-6307-4cef-92d7-03c2cca2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e5d8d57-a02c-4e7f-b076-1a2e28d1ec62}" ma:internalName="TaxCatchAll" ma:showField="CatchAllData" ma:web="b05f6173-1581-40d9-90a8-9c8825428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4d9fb-6307-4cef-92d7-03c2cca2b700" xsi:nil="true"/>
    <lcf76f155ced4ddcb4097134ff3c332f xmlns="1c219ffc-0e18-4455-814f-1902fef398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fdd1858-e21a-4dc0-9eb0-0eda04e424b6" ContentTypeId="0x0101" PreviousValue="false" LastSyncTimeStamp="2017-07-11T13:08:33.013Z"/>
</file>

<file path=customXml/itemProps1.xml><?xml version="1.0" encoding="utf-8"?>
<ds:datastoreItem xmlns:ds="http://schemas.openxmlformats.org/officeDocument/2006/customXml" ds:itemID="{06865F62-FC6F-47F5-819C-09FB916A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9ffc-0e18-4455-814f-1902fef39821"/>
    <ds:schemaRef ds:uri="b05f6173-1581-40d9-90a8-9c882542845e"/>
    <ds:schemaRef ds:uri="4a64d9fb-6307-4cef-92d7-03c2cca2b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950DF-A7B4-410B-83F7-A29A8C3D5121}">
  <ds:schemaRefs>
    <ds:schemaRef ds:uri="http://schemas.microsoft.com/office/2006/metadata/properties"/>
    <ds:schemaRef ds:uri="http://schemas.microsoft.com/office/infopath/2007/PartnerControls"/>
    <ds:schemaRef ds:uri="4a64d9fb-6307-4cef-92d7-03c2cca2b700"/>
    <ds:schemaRef ds:uri="1c219ffc-0e18-4455-814f-1902fef39821"/>
  </ds:schemaRefs>
</ds:datastoreItem>
</file>

<file path=customXml/itemProps3.xml><?xml version="1.0" encoding="utf-8"?>
<ds:datastoreItem xmlns:ds="http://schemas.openxmlformats.org/officeDocument/2006/customXml" ds:itemID="{B0CA8338-7631-487C-9C8D-80309D71C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12B91-0474-4FF1-988D-959605F258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CARATTERISTICHE PERSONALE / PROFILI MINIMI</vt:lpstr>
    </vt:vector>
  </TitlesOfParts>
  <Company>dallapiccola sas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CARATTERISTICHE PERSONALE / PROFILI MINIMI</dc:title>
  <dc:subject/>
  <dc:creator>Sandra Fulginiti</dc:creator>
  <cp:keywords/>
  <cp:lastModifiedBy>Bonini, Lucrezia</cp:lastModifiedBy>
  <cp:revision>2</cp:revision>
  <cp:lastPrinted>2007-09-04T13:05:00Z</cp:lastPrinted>
  <dcterms:created xsi:type="dcterms:W3CDTF">2024-10-15T13:05:00Z</dcterms:created>
  <dcterms:modified xsi:type="dcterms:W3CDTF">2024-10-15T13:05:00Z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0x0101009C39E39C55D2AE4B8E04B8E6EF4F130C</vt:lpwstr>
  </property>
  <property fmtid="{D5CDD505-2E9C-101B-9397-08002B2CF9AE}" pid="3" name="MediaServiceImageTags">
    <vt:lpwstr/>
  </property>
</Properties>
</file>